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17" w:rsidRPr="003660DD" w:rsidRDefault="000D0217" w:rsidP="000D0217">
      <w:pPr>
        <w:jc w:val="both"/>
        <w:rPr>
          <w:rFonts w:ascii="Times New Roman" w:hAnsi="Times New Roman" w:cs="Times New Roman"/>
          <w:sz w:val="24"/>
          <w:szCs w:val="24"/>
        </w:rPr>
      </w:pPr>
      <w:bookmarkStart w:id="0" w:name="_GoBack"/>
      <w:bookmarkEnd w:id="0"/>
    </w:p>
    <w:p w:rsidR="000D0217" w:rsidRDefault="000D0217" w:rsidP="000D0217">
      <w:pPr>
        <w:pStyle w:val="NormalWeb"/>
        <w:spacing w:before="0" w:beforeAutospacing="0" w:after="0" w:afterAutospacing="0"/>
        <w:rPr>
          <w:b/>
        </w:rPr>
      </w:pPr>
    </w:p>
    <w:p w:rsidR="000D0217" w:rsidRDefault="000D0217" w:rsidP="000D0217">
      <w:pPr>
        <w:pStyle w:val="NormalWeb"/>
        <w:spacing w:before="0" w:beforeAutospacing="0" w:after="0" w:afterAutospacing="0"/>
        <w:rPr>
          <w:b/>
          <w:color w:val="C0504D" w:themeColor="accent2"/>
        </w:rPr>
      </w:pPr>
      <w:r>
        <w:rPr>
          <w:b/>
          <w:color w:val="C0504D" w:themeColor="accent2"/>
        </w:rPr>
        <w:t>ÖRNEK 7</w:t>
      </w:r>
      <w:r w:rsidRPr="005B6B2F">
        <w:rPr>
          <w:b/>
          <w:color w:val="C0504D" w:themeColor="accent2"/>
        </w:rPr>
        <w:t xml:space="preserve">: RÜÇHAN HAKKI </w:t>
      </w:r>
      <w:r>
        <w:rPr>
          <w:b/>
          <w:color w:val="C0504D" w:themeColor="accent2"/>
        </w:rPr>
        <w:t>(TTK MADDE 461)</w:t>
      </w: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Pr="005D1848" w:rsidRDefault="000D0217" w:rsidP="000D0217">
      <w:pPr>
        <w:pStyle w:val="NormalWeb"/>
        <w:spacing w:before="0" w:beforeAutospacing="0" w:after="0" w:afterAutospacing="0"/>
        <w:rPr>
          <w:b/>
        </w:rPr>
      </w:pPr>
      <w:r w:rsidRPr="005D1848">
        <w:rPr>
          <w:b/>
          <w:color w:val="000000" w:themeColor="text1"/>
          <w:kern w:val="24"/>
        </w:rPr>
        <w:t>KARAR NO</w:t>
      </w:r>
      <w:r w:rsidRPr="005D1848">
        <w:rPr>
          <w:b/>
          <w:color w:val="000000" w:themeColor="text1"/>
          <w:kern w:val="24"/>
        </w:rPr>
        <w:tab/>
      </w:r>
      <w:r w:rsidRPr="005D1848">
        <w:rPr>
          <w:b/>
          <w:color w:val="000000" w:themeColor="text1"/>
          <w:kern w:val="24"/>
        </w:rPr>
        <w:tab/>
      </w:r>
      <w:r w:rsidRPr="005D1848">
        <w:rPr>
          <w:b/>
          <w:color w:val="000000" w:themeColor="text1"/>
          <w:kern w:val="24"/>
        </w:rPr>
        <w:tab/>
      </w:r>
      <w:r w:rsidRPr="005D1848">
        <w:rPr>
          <w:b/>
          <w:color w:val="000000" w:themeColor="text1"/>
          <w:kern w:val="24"/>
        </w:rPr>
        <w:tab/>
        <w:t xml:space="preserve">: </w:t>
      </w:r>
    </w:p>
    <w:p w:rsidR="000D0217" w:rsidRPr="005D1848" w:rsidRDefault="000D0217" w:rsidP="000D0217">
      <w:pPr>
        <w:pStyle w:val="NormalWeb"/>
        <w:spacing w:before="0" w:beforeAutospacing="0" w:after="0" w:afterAutospacing="0"/>
        <w:rPr>
          <w:b/>
        </w:rPr>
      </w:pPr>
      <w:r w:rsidRPr="005D1848">
        <w:rPr>
          <w:b/>
          <w:color w:val="000000" w:themeColor="text1"/>
          <w:kern w:val="24"/>
        </w:rPr>
        <w:t>KARAR TARİHİ</w:t>
      </w:r>
      <w:r w:rsidRPr="005D1848">
        <w:rPr>
          <w:b/>
          <w:color w:val="000000" w:themeColor="text1"/>
          <w:kern w:val="24"/>
        </w:rPr>
        <w:tab/>
      </w:r>
      <w:r w:rsidRPr="005D1848">
        <w:rPr>
          <w:b/>
          <w:color w:val="000000" w:themeColor="text1"/>
          <w:kern w:val="24"/>
        </w:rPr>
        <w:tab/>
      </w:r>
      <w:r w:rsidRPr="005D1848">
        <w:rPr>
          <w:b/>
          <w:color w:val="000000" w:themeColor="text1"/>
          <w:kern w:val="24"/>
        </w:rPr>
        <w:tab/>
        <w:t xml:space="preserve">: </w:t>
      </w:r>
    </w:p>
    <w:p w:rsidR="000D0217" w:rsidRPr="005D1848" w:rsidRDefault="000D0217" w:rsidP="000D0217">
      <w:pPr>
        <w:pStyle w:val="NormalWeb"/>
        <w:spacing w:before="0" w:beforeAutospacing="0" w:after="0" w:afterAutospacing="0"/>
        <w:rPr>
          <w:b/>
        </w:rPr>
      </w:pPr>
      <w:r w:rsidRPr="005D1848">
        <w:rPr>
          <w:b/>
          <w:color w:val="000000" w:themeColor="text1"/>
          <w:kern w:val="24"/>
        </w:rPr>
        <w:t xml:space="preserve">TOPLANTIYA KATILANLAR </w:t>
      </w:r>
      <w:r w:rsidRPr="005D1848">
        <w:rPr>
          <w:b/>
          <w:color w:val="000000" w:themeColor="text1"/>
          <w:kern w:val="24"/>
        </w:rPr>
        <w:tab/>
        <w:t xml:space="preserve">: </w:t>
      </w:r>
    </w:p>
    <w:p w:rsidR="000D0217" w:rsidRPr="005D1848" w:rsidRDefault="000D0217" w:rsidP="000D0217">
      <w:pPr>
        <w:pStyle w:val="NormalWeb"/>
        <w:spacing w:before="0" w:beforeAutospacing="0" w:after="0" w:afterAutospacing="0"/>
        <w:rPr>
          <w:b/>
        </w:rPr>
      </w:pPr>
      <w:r w:rsidRPr="005D1848">
        <w:rPr>
          <w:b/>
          <w:color w:val="000000" w:themeColor="text1"/>
          <w:kern w:val="24"/>
        </w:rPr>
        <w:t> </w:t>
      </w:r>
    </w:p>
    <w:p w:rsidR="000D0217" w:rsidRPr="005D1848" w:rsidRDefault="000D0217" w:rsidP="000D0217">
      <w:pPr>
        <w:pStyle w:val="NormalWeb"/>
        <w:spacing w:before="0" w:beforeAutospacing="0" w:after="0" w:afterAutospacing="0"/>
        <w:rPr>
          <w:b/>
        </w:rPr>
      </w:pPr>
      <w:r w:rsidRPr="005D1848">
        <w:rPr>
          <w:b/>
          <w:color w:val="000000" w:themeColor="text1"/>
          <w:kern w:val="24"/>
        </w:rPr>
        <w:t> </w:t>
      </w:r>
    </w:p>
    <w:p w:rsidR="000D0217" w:rsidRPr="005D1848" w:rsidRDefault="000D0217" w:rsidP="000D0217">
      <w:pPr>
        <w:pStyle w:val="NormalWeb"/>
        <w:spacing w:before="0" w:beforeAutospacing="0" w:after="0" w:afterAutospacing="0"/>
        <w:rPr>
          <w:b/>
        </w:rPr>
      </w:pPr>
      <w:r w:rsidRPr="005D1848">
        <w:rPr>
          <w:b/>
          <w:color w:val="000000" w:themeColor="text1"/>
          <w:kern w:val="24"/>
        </w:rPr>
        <w:t> </w:t>
      </w:r>
    </w:p>
    <w:p w:rsidR="000D0217" w:rsidRPr="005D1848" w:rsidRDefault="000D0217" w:rsidP="000D0217">
      <w:pPr>
        <w:pStyle w:val="NormalWeb"/>
        <w:spacing w:before="0" w:beforeAutospacing="0" w:after="0" w:afterAutospacing="0"/>
        <w:rPr>
          <w:b/>
        </w:rPr>
      </w:pPr>
      <w:r w:rsidRPr="005D1848">
        <w:rPr>
          <w:b/>
          <w:color w:val="000000" w:themeColor="text1"/>
          <w:kern w:val="24"/>
        </w:rPr>
        <w:t> Yönetim kurulu şirket merkezinde toplanarak aşağıdaki kararları almışlardır. </w:t>
      </w:r>
    </w:p>
    <w:p w:rsidR="000D0217" w:rsidRPr="005D1848" w:rsidRDefault="000D0217" w:rsidP="000D0217">
      <w:pPr>
        <w:pStyle w:val="NormalWeb"/>
        <w:spacing w:before="0" w:beforeAutospacing="0" w:after="0" w:afterAutospacing="0"/>
        <w:rPr>
          <w:b/>
          <w:color w:val="C0504D" w:themeColor="accent2"/>
        </w:rPr>
      </w:pPr>
      <w:r w:rsidRPr="005D1848">
        <w:rPr>
          <w:b/>
          <w:color w:val="C0504D" w:themeColor="accent2"/>
          <w:kern w:val="24"/>
        </w:rPr>
        <w:t> </w:t>
      </w:r>
    </w:p>
    <w:p w:rsidR="000D0217" w:rsidRPr="004009DA" w:rsidRDefault="004009DA" w:rsidP="00021FB0">
      <w:pPr>
        <w:pStyle w:val="NormalWeb"/>
        <w:spacing w:before="0" w:beforeAutospacing="0" w:after="0" w:afterAutospacing="0"/>
        <w:ind w:firstLine="708"/>
        <w:jc w:val="both"/>
        <w:rPr>
          <w:b/>
          <w:color w:val="000000" w:themeColor="text1"/>
        </w:rPr>
      </w:pPr>
      <w:r w:rsidRPr="004009DA">
        <w:rPr>
          <w:b/>
          <w:color w:val="000000" w:themeColor="text1"/>
        </w:rPr>
        <w:t>Şirketimizin …/…/</w:t>
      </w:r>
      <w:proofErr w:type="gramStart"/>
      <w:r w:rsidRPr="004009DA">
        <w:rPr>
          <w:b/>
          <w:color w:val="000000" w:themeColor="text1"/>
        </w:rPr>
        <w:t>…..</w:t>
      </w:r>
      <w:proofErr w:type="gramEnd"/>
      <w:r w:rsidRPr="004009DA">
        <w:rPr>
          <w:b/>
          <w:color w:val="000000" w:themeColor="text1"/>
        </w:rPr>
        <w:t xml:space="preserve"> tarihli Olağan/Olağanüstü Genel Kurul toplantısında; şirketin </w:t>
      </w:r>
      <w:proofErr w:type="gramStart"/>
      <w:r w:rsidRPr="004009DA">
        <w:rPr>
          <w:b/>
          <w:color w:val="000000" w:themeColor="text1"/>
        </w:rPr>
        <w:t>…………………..</w:t>
      </w:r>
      <w:proofErr w:type="gramEnd"/>
      <w:r w:rsidRPr="004009DA">
        <w:rPr>
          <w:b/>
          <w:color w:val="000000" w:themeColor="text1"/>
        </w:rPr>
        <w:t xml:space="preserve"> TL olan sermayesinin (gerekli durumlarda sermaye arttırma sebepleri ve arttırma şekli de yazılabilir). </w:t>
      </w:r>
      <w:proofErr w:type="gramStart"/>
      <w:r w:rsidRPr="004009DA">
        <w:rPr>
          <w:b/>
          <w:color w:val="000000" w:themeColor="text1"/>
        </w:rPr>
        <w:t>………………</w:t>
      </w:r>
      <w:proofErr w:type="gramEnd"/>
      <w:r w:rsidRPr="004009DA">
        <w:rPr>
          <w:b/>
          <w:color w:val="000000" w:themeColor="text1"/>
        </w:rPr>
        <w:t xml:space="preserve"> TL arttırılarak </w:t>
      </w:r>
      <w:proofErr w:type="gramStart"/>
      <w:r w:rsidRPr="004009DA">
        <w:rPr>
          <w:b/>
          <w:color w:val="000000" w:themeColor="text1"/>
        </w:rPr>
        <w:t>…………….</w:t>
      </w:r>
      <w:proofErr w:type="gramEnd"/>
      <w:r w:rsidRPr="004009DA">
        <w:rPr>
          <w:b/>
          <w:color w:val="000000" w:themeColor="text1"/>
        </w:rPr>
        <w:t xml:space="preserve"> TL’ye çıkarılmasına </w:t>
      </w:r>
      <w:r w:rsidR="00A42581">
        <w:rPr>
          <w:b/>
          <w:color w:val="000000" w:themeColor="text1"/>
        </w:rPr>
        <w:t xml:space="preserve">karar verilmiş olup </w:t>
      </w:r>
      <w:r w:rsidRPr="004009DA">
        <w:rPr>
          <w:b/>
          <w:color w:val="000000" w:themeColor="text1"/>
        </w:rPr>
        <w:t>Türk Ticaret Kanununun ilgili hükümlerine göre rüçhan hakkını kullanmaya davet ilanının aşağıdaki gibi yapılmasına karar verilmiştir.</w:t>
      </w:r>
    </w:p>
    <w:p w:rsidR="004009DA" w:rsidRPr="004009DA" w:rsidRDefault="004009DA" w:rsidP="00021FB0">
      <w:pPr>
        <w:pStyle w:val="NormalWeb"/>
        <w:spacing w:before="0" w:beforeAutospacing="0" w:after="0" w:afterAutospacing="0"/>
        <w:ind w:firstLine="708"/>
        <w:jc w:val="both"/>
        <w:rPr>
          <w:b/>
          <w:color w:val="000000" w:themeColor="text1"/>
        </w:rPr>
      </w:pPr>
      <w:r w:rsidRPr="004009DA">
        <w:rPr>
          <w:b/>
          <w:color w:val="000000" w:themeColor="text1"/>
        </w:rPr>
        <w:t xml:space="preserve"> </w:t>
      </w:r>
    </w:p>
    <w:p w:rsidR="004009DA" w:rsidRDefault="00A42581" w:rsidP="004009DA">
      <w:pPr>
        <w:pStyle w:val="NormalWeb"/>
        <w:spacing w:before="0" w:beforeAutospacing="0" w:after="0" w:afterAutospacing="0"/>
        <w:jc w:val="both"/>
        <w:rPr>
          <w:b/>
          <w:color w:val="000000" w:themeColor="text1"/>
        </w:rPr>
      </w:pPr>
      <w:r>
        <w:rPr>
          <w:b/>
          <w:color w:val="000000" w:themeColor="text1"/>
        </w:rPr>
        <w:t xml:space="preserve">T.T. K. </w:t>
      </w:r>
      <w:r w:rsidR="004009DA" w:rsidRPr="004009DA">
        <w:rPr>
          <w:b/>
          <w:color w:val="000000" w:themeColor="text1"/>
        </w:rPr>
        <w:t>461. Maddesine Göre Rüçhan Hakkını Kullanmaya Davet İlanı:</w:t>
      </w:r>
    </w:p>
    <w:p w:rsidR="00F20427" w:rsidRDefault="00F20427" w:rsidP="004009DA">
      <w:pPr>
        <w:pStyle w:val="NormalWeb"/>
        <w:spacing w:before="0" w:beforeAutospacing="0" w:after="0" w:afterAutospacing="0"/>
        <w:jc w:val="both"/>
        <w:rPr>
          <w:b/>
          <w:color w:val="000000" w:themeColor="text1"/>
        </w:rPr>
      </w:pPr>
    </w:p>
    <w:p w:rsidR="00F20427" w:rsidRDefault="00F20427" w:rsidP="004009DA">
      <w:pPr>
        <w:pStyle w:val="NormalWeb"/>
        <w:spacing w:before="0" w:beforeAutospacing="0" w:after="0" w:afterAutospacing="0"/>
        <w:jc w:val="both"/>
        <w:rPr>
          <w:b/>
          <w:color w:val="000000" w:themeColor="text1"/>
        </w:rPr>
      </w:pPr>
      <w:r>
        <w:rPr>
          <w:b/>
          <w:color w:val="000000" w:themeColor="text1"/>
        </w:rPr>
        <w:t xml:space="preserve">Şirket ortaklarının 6102 sayılı Türk Ticaret Kanununun 461. Maddesi hükümlerine göre rüçhan hakkını kullanmaları, rüçhan haklarını kullanmak istemeyenlerin devir ya da feragat ettiklerine ilişkin beyanlarını bildirmeleri, sermaye artışında bulunmak isteyen ortakların kanun ve ana sözleşme gereği taahhüt etmeleri gereken tutara ilişkin ödemelerini </w:t>
      </w:r>
      <w:r w:rsidR="00A42581">
        <w:rPr>
          <w:b/>
          <w:color w:val="000000" w:themeColor="text1"/>
        </w:rPr>
        <w:t>(en az ¼ oranında)</w:t>
      </w:r>
      <w:proofErr w:type="gramStart"/>
      <w:r>
        <w:rPr>
          <w:b/>
          <w:color w:val="000000" w:themeColor="text1"/>
        </w:rPr>
        <w:t>…………………………………..</w:t>
      </w:r>
      <w:proofErr w:type="gramEnd"/>
      <w:r>
        <w:rPr>
          <w:b/>
          <w:color w:val="000000" w:themeColor="text1"/>
        </w:rPr>
        <w:t xml:space="preserve"> Bankası </w:t>
      </w:r>
      <w:proofErr w:type="gramStart"/>
      <w:r>
        <w:rPr>
          <w:b/>
          <w:color w:val="000000" w:themeColor="text1"/>
        </w:rPr>
        <w:t>…………………</w:t>
      </w:r>
      <w:proofErr w:type="gramEnd"/>
      <w:r>
        <w:rPr>
          <w:b/>
          <w:color w:val="000000" w:themeColor="text1"/>
        </w:rPr>
        <w:t xml:space="preserve"> Şubesi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gramStart"/>
      <w:r>
        <w:rPr>
          <w:b/>
          <w:color w:val="000000" w:themeColor="text1"/>
        </w:rPr>
        <w:t>..</w:t>
      </w:r>
      <w:proofErr w:type="gramEnd"/>
      <w:r>
        <w:rPr>
          <w:b/>
          <w:color w:val="000000" w:themeColor="text1"/>
        </w:rPr>
        <w:t xml:space="preserve">  </w:t>
      </w:r>
      <w:proofErr w:type="spellStart"/>
      <w:r>
        <w:rPr>
          <w:b/>
          <w:color w:val="000000" w:themeColor="text1"/>
        </w:rPr>
        <w:t>iban</w:t>
      </w:r>
      <w:proofErr w:type="spellEnd"/>
      <w:r>
        <w:rPr>
          <w:b/>
          <w:color w:val="000000" w:themeColor="text1"/>
        </w:rPr>
        <w:t xml:space="preserve"> </w:t>
      </w:r>
      <w:proofErr w:type="spellStart"/>
      <w:r>
        <w:rPr>
          <w:b/>
          <w:color w:val="000000" w:themeColor="text1"/>
        </w:rPr>
        <w:t>nolu</w:t>
      </w:r>
      <w:proofErr w:type="spellEnd"/>
      <w:r>
        <w:rPr>
          <w:b/>
          <w:color w:val="000000" w:themeColor="text1"/>
        </w:rPr>
        <w:t xml:space="preserve"> hesaba </w:t>
      </w:r>
      <w:r w:rsidR="00A42581">
        <w:rPr>
          <w:b/>
          <w:color w:val="000000" w:themeColor="text1"/>
        </w:rPr>
        <w:t xml:space="preserve">sermaye artırım bedeli olarak </w:t>
      </w:r>
      <w:r w:rsidR="0084175A">
        <w:rPr>
          <w:b/>
          <w:color w:val="000000" w:themeColor="text1"/>
        </w:rPr>
        <w:t>bloke ettirmeleri</w:t>
      </w:r>
      <w:r>
        <w:rPr>
          <w:b/>
          <w:color w:val="000000" w:themeColor="text1"/>
        </w:rPr>
        <w:t xml:space="preserve"> ve </w:t>
      </w:r>
      <w:r w:rsidR="0084175A">
        <w:rPr>
          <w:b/>
          <w:color w:val="000000" w:themeColor="text1"/>
        </w:rPr>
        <w:t xml:space="preserve">bloke yazısı ile </w:t>
      </w:r>
      <w:r>
        <w:rPr>
          <w:b/>
          <w:color w:val="000000" w:themeColor="text1"/>
        </w:rPr>
        <w:t xml:space="preserve">ödeme dekontlarının şirketimize ibraz etmeleri için iş bu kararın ilan tarihinden itibaren </w:t>
      </w:r>
      <w:proofErr w:type="gramStart"/>
      <w:r>
        <w:rPr>
          <w:b/>
          <w:color w:val="000000" w:themeColor="text1"/>
        </w:rPr>
        <w:t>….</w:t>
      </w:r>
      <w:proofErr w:type="gramEnd"/>
      <w:r>
        <w:rPr>
          <w:b/>
          <w:color w:val="000000" w:themeColor="text1"/>
        </w:rPr>
        <w:t xml:space="preserve"> </w:t>
      </w:r>
      <w:proofErr w:type="gramStart"/>
      <w:r w:rsidR="00C1626B">
        <w:rPr>
          <w:b/>
          <w:color w:val="000000" w:themeColor="text1"/>
        </w:rPr>
        <w:t>g</w:t>
      </w:r>
      <w:r>
        <w:rPr>
          <w:b/>
          <w:color w:val="000000" w:themeColor="text1"/>
        </w:rPr>
        <w:t>ünlük</w:t>
      </w:r>
      <w:proofErr w:type="gramEnd"/>
      <w:r>
        <w:rPr>
          <w:b/>
          <w:color w:val="000000" w:themeColor="text1"/>
        </w:rPr>
        <w:t xml:space="preserve"> süre (süre en az 15 gün olmalıdır) tanınmıştır. </w:t>
      </w:r>
    </w:p>
    <w:p w:rsidR="00C1626B" w:rsidRDefault="00C1626B" w:rsidP="004009DA">
      <w:pPr>
        <w:pStyle w:val="NormalWeb"/>
        <w:spacing w:before="0" w:beforeAutospacing="0" w:after="0" w:afterAutospacing="0"/>
        <w:jc w:val="both"/>
        <w:rPr>
          <w:b/>
          <w:color w:val="000000" w:themeColor="text1"/>
        </w:rPr>
      </w:pPr>
    </w:p>
    <w:p w:rsidR="00C1626B" w:rsidRDefault="00C1626B" w:rsidP="004009DA">
      <w:pPr>
        <w:pStyle w:val="NormalWeb"/>
        <w:spacing w:before="0" w:beforeAutospacing="0" w:after="0" w:afterAutospacing="0"/>
        <w:jc w:val="both"/>
        <w:rPr>
          <w:b/>
          <w:color w:val="000000" w:themeColor="text1"/>
        </w:rPr>
      </w:pPr>
      <w:proofErr w:type="gramStart"/>
      <w:r>
        <w:rPr>
          <w:b/>
          <w:color w:val="000000" w:themeColor="text1"/>
        </w:rPr>
        <w:t>….</w:t>
      </w:r>
      <w:proofErr w:type="gramEnd"/>
      <w:r>
        <w:rPr>
          <w:b/>
          <w:color w:val="000000" w:themeColor="text1"/>
        </w:rPr>
        <w:t xml:space="preserve"> </w:t>
      </w:r>
      <w:proofErr w:type="gramStart"/>
      <w:r>
        <w:rPr>
          <w:b/>
          <w:color w:val="000000" w:themeColor="text1"/>
        </w:rPr>
        <w:t>günlük</w:t>
      </w:r>
      <w:proofErr w:type="gramEnd"/>
      <w:r>
        <w:rPr>
          <w:b/>
          <w:color w:val="000000" w:themeColor="text1"/>
        </w:rPr>
        <w:t xml:space="preserve"> süre içerisinde rüçhan hakkı ile ilgili beyanda bulunmayan ya da sermaye artışına katılacakların sermaye koyma borcu süresi içerisinde yerine getirmemeleri halinde ihtara gerek olmaksızın haklarından vazgeçmiş sayılacaklarına, arttırılmasına karar verilen sermaye miktarının yönetim kurulu tarafından diğer bir ortağa veya ortak olmayan üçüncü şahıslara </w:t>
      </w:r>
      <w:r w:rsidR="00A42581">
        <w:rPr>
          <w:b/>
          <w:color w:val="000000" w:themeColor="text1"/>
        </w:rPr>
        <w:t>kullandırılmasına</w:t>
      </w:r>
      <w:r>
        <w:rPr>
          <w:b/>
          <w:color w:val="000000" w:themeColor="text1"/>
        </w:rPr>
        <w:t xml:space="preserve">, </w:t>
      </w:r>
    </w:p>
    <w:p w:rsidR="00A42581" w:rsidRDefault="00A42581" w:rsidP="004009DA">
      <w:pPr>
        <w:pStyle w:val="NormalWeb"/>
        <w:spacing w:before="0" w:beforeAutospacing="0" w:after="0" w:afterAutospacing="0"/>
        <w:jc w:val="both"/>
        <w:rPr>
          <w:b/>
          <w:color w:val="000000" w:themeColor="text1"/>
        </w:rPr>
      </w:pPr>
    </w:p>
    <w:p w:rsidR="00C1626B" w:rsidRPr="004009DA" w:rsidRDefault="00C1626B" w:rsidP="004009DA">
      <w:pPr>
        <w:pStyle w:val="NormalWeb"/>
        <w:spacing w:before="0" w:beforeAutospacing="0" w:after="0" w:afterAutospacing="0"/>
        <w:jc w:val="both"/>
        <w:rPr>
          <w:b/>
          <w:color w:val="000000" w:themeColor="text1"/>
        </w:rPr>
      </w:pPr>
      <w:r>
        <w:rPr>
          <w:b/>
          <w:color w:val="000000" w:themeColor="text1"/>
        </w:rPr>
        <w:t xml:space="preserve">İşbu kararın Türk Ticaret Kanunun ilgili hükümleri gereğince tescil ve ilanına karar verilmiştir. </w:t>
      </w: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Pr="00EE7142" w:rsidRDefault="000D0217" w:rsidP="000D0217">
      <w:pPr>
        <w:pStyle w:val="NormalWeb"/>
        <w:spacing w:before="0" w:beforeAutospacing="0" w:after="0" w:afterAutospacing="0"/>
        <w:jc w:val="center"/>
        <w:rPr>
          <w:b/>
        </w:rPr>
      </w:pPr>
      <w:r>
        <w:rPr>
          <w:b/>
          <w:color w:val="000000" w:themeColor="text1"/>
          <w:kern w:val="24"/>
        </w:rPr>
        <w:t>Yönetim Kurulu Üyesi</w:t>
      </w:r>
      <w:r>
        <w:rPr>
          <w:b/>
          <w:color w:val="000000" w:themeColor="text1"/>
          <w:kern w:val="24"/>
        </w:rPr>
        <w:tab/>
      </w:r>
      <w:r w:rsidRPr="00EE7142">
        <w:rPr>
          <w:b/>
          <w:color w:val="000000" w:themeColor="text1"/>
          <w:kern w:val="24"/>
        </w:rPr>
        <w:t>Yönetim Kurulu Üyesi</w:t>
      </w:r>
      <w:r w:rsidRPr="00EE7142">
        <w:rPr>
          <w:b/>
          <w:color w:val="000000" w:themeColor="text1"/>
          <w:kern w:val="24"/>
        </w:rPr>
        <w:tab/>
        <w:t>Yönetim Kurulu Üyesi</w:t>
      </w:r>
    </w:p>
    <w:p w:rsidR="000D0217" w:rsidRPr="00E93CAA" w:rsidRDefault="000D0217" w:rsidP="000D0217">
      <w:pPr>
        <w:pStyle w:val="NormalWeb"/>
        <w:spacing w:before="0" w:beforeAutospacing="0" w:after="0" w:afterAutospacing="0"/>
        <w:ind w:firstLine="708"/>
        <w:rPr>
          <w:b/>
          <w:color w:val="000000" w:themeColor="text1"/>
          <w:kern w:val="24"/>
        </w:rPr>
      </w:pPr>
      <w:r>
        <w:rPr>
          <w:b/>
          <w:color w:val="000000" w:themeColor="text1"/>
          <w:kern w:val="24"/>
        </w:rPr>
        <w:t xml:space="preserve">            İMZA </w:t>
      </w:r>
      <w:r>
        <w:rPr>
          <w:b/>
          <w:color w:val="000000" w:themeColor="text1"/>
          <w:kern w:val="24"/>
        </w:rPr>
        <w:tab/>
        <w:t xml:space="preserve">                     </w:t>
      </w:r>
      <w:r>
        <w:rPr>
          <w:b/>
          <w:color w:val="000000" w:themeColor="text1"/>
          <w:kern w:val="24"/>
        </w:rPr>
        <w:tab/>
      </w:r>
      <w:proofErr w:type="spellStart"/>
      <w:r w:rsidRPr="00EE7142">
        <w:rPr>
          <w:b/>
          <w:color w:val="000000" w:themeColor="text1"/>
          <w:kern w:val="24"/>
        </w:rPr>
        <w:t>İMZA</w:t>
      </w:r>
      <w:proofErr w:type="spellEnd"/>
      <w:r w:rsidRPr="00EE7142">
        <w:rPr>
          <w:b/>
          <w:color w:val="000000" w:themeColor="text1"/>
          <w:kern w:val="24"/>
        </w:rPr>
        <w:tab/>
      </w:r>
      <w:r w:rsidRPr="00EE7142">
        <w:rPr>
          <w:b/>
          <w:color w:val="000000" w:themeColor="text1"/>
          <w:kern w:val="24"/>
        </w:rPr>
        <w:tab/>
      </w:r>
      <w:r w:rsidRPr="00EE7142">
        <w:rPr>
          <w:b/>
          <w:color w:val="000000" w:themeColor="text1"/>
          <w:kern w:val="24"/>
        </w:rPr>
        <w:tab/>
      </w:r>
      <w:r w:rsidRPr="00EE7142">
        <w:rPr>
          <w:b/>
          <w:color w:val="000000" w:themeColor="text1"/>
          <w:kern w:val="24"/>
        </w:rPr>
        <w:tab/>
      </w:r>
      <w:proofErr w:type="spellStart"/>
      <w:r w:rsidRPr="00EE7142">
        <w:rPr>
          <w:b/>
          <w:color w:val="000000" w:themeColor="text1"/>
          <w:kern w:val="24"/>
        </w:rPr>
        <w:t>İMZA</w:t>
      </w:r>
      <w:proofErr w:type="spellEnd"/>
    </w:p>
    <w:p w:rsidR="000D0217" w:rsidRDefault="000D0217" w:rsidP="000D0217">
      <w:pPr>
        <w:pStyle w:val="NormalWeb"/>
        <w:spacing w:before="0" w:beforeAutospacing="0" w:after="0" w:afterAutospacing="0"/>
        <w:rPr>
          <w:b/>
          <w:color w:val="C0504D" w:themeColor="accent2"/>
        </w:rPr>
      </w:pPr>
    </w:p>
    <w:p w:rsidR="00C1626B" w:rsidRDefault="00C1626B"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r>
        <w:rPr>
          <w:b/>
          <w:color w:val="C0504D" w:themeColor="accent2"/>
        </w:rPr>
        <w:t>DİKKAT!</w:t>
      </w:r>
    </w:p>
    <w:p w:rsidR="000D0217" w:rsidRDefault="000D0217" w:rsidP="000D0217">
      <w:pPr>
        <w:pStyle w:val="NormalWeb"/>
        <w:spacing w:before="0" w:beforeAutospacing="0" w:after="0" w:afterAutospacing="0"/>
        <w:rPr>
          <w:b/>
          <w:color w:val="C0504D" w:themeColor="accent2"/>
        </w:rPr>
      </w:pPr>
    </w:p>
    <w:p w:rsidR="009655B4" w:rsidRDefault="009655B4" w:rsidP="009655B4">
      <w:pPr>
        <w:rPr>
          <w:rFonts w:ascii="Times New Roman" w:hAnsi="Times New Roman" w:cs="Times New Roman"/>
          <w:sz w:val="24"/>
          <w:szCs w:val="24"/>
        </w:rPr>
      </w:pPr>
      <w:r>
        <w:rPr>
          <w:rFonts w:ascii="Times New Roman" w:hAnsi="Times New Roman" w:cs="Times New Roman"/>
          <w:sz w:val="24"/>
          <w:szCs w:val="24"/>
        </w:rPr>
        <w:lastRenderedPageBreak/>
        <w:t>*Yönetim kurulu kararının altında şirket yönetim kurulu üyeleri dışından bir kişinin imzası bulunamaz.</w:t>
      </w:r>
    </w:p>
    <w:p w:rsidR="000D0217" w:rsidRPr="00FB4A27" w:rsidRDefault="000D0217" w:rsidP="000D0217">
      <w:pPr>
        <w:jc w:val="both"/>
        <w:rPr>
          <w:rFonts w:ascii="Times New Roman" w:hAnsi="Times New Roman" w:cs="Times New Roman"/>
          <w:sz w:val="24"/>
          <w:szCs w:val="24"/>
        </w:rPr>
      </w:pPr>
      <w:r>
        <w:rPr>
          <w:rFonts w:ascii="Times New Roman" w:hAnsi="Times New Roman" w:cs="Times New Roman"/>
          <w:sz w:val="24"/>
          <w:szCs w:val="24"/>
        </w:rPr>
        <w:t>*</w:t>
      </w:r>
      <w:r w:rsidRPr="00FB4A27">
        <w:rPr>
          <w:rFonts w:ascii="Times New Roman" w:hAnsi="Times New Roman" w:cs="Times New Roman"/>
          <w:sz w:val="24"/>
          <w:szCs w:val="24"/>
        </w:rPr>
        <w:t>Tüm yönetim kurulu üyelerinin karar altında adının açılması ve katılmayan üyeler için “ katılmadı” yazılarak üyeden haberdarlık yazısı getirilmesi gerekmektedir</w:t>
      </w:r>
      <w:r>
        <w:rPr>
          <w:rFonts w:ascii="Times New Roman" w:hAnsi="Times New Roman" w:cs="Times New Roman"/>
          <w:sz w:val="24"/>
          <w:szCs w:val="24"/>
        </w:rPr>
        <w:t>.</w:t>
      </w:r>
    </w:p>
    <w:p w:rsidR="000D0217" w:rsidRPr="00FB4A27" w:rsidRDefault="000D0217" w:rsidP="000D0217">
      <w:pPr>
        <w:jc w:val="both"/>
        <w:rPr>
          <w:rFonts w:ascii="Times New Roman" w:hAnsi="Times New Roman" w:cs="Times New Roman"/>
          <w:sz w:val="24"/>
          <w:szCs w:val="24"/>
        </w:rPr>
      </w:pPr>
      <w:r>
        <w:rPr>
          <w:rFonts w:ascii="Times New Roman" w:hAnsi="Times New Roman" w:cs="Times New Roman"/>
          <w:sz w:val="24"/>
          <w:szCs w:val="24"/>
        </w:rPr>
        <w:t>*</w:t>
      </w:r>
      <w:r w:rsidRPr="00FB4A27">
        <w:rPr>
          <w:rFonts w:ascii="Times New Roman" w:hAnsi="Times New Roman" w:cs="Times New Roman"/>
          <w:sz w:val="24"/>
          <w:szCs w:val="24"/>
        </w:rPr>
        <w:t xml:space="preserve">Yönetim kurulunda tüzel kişi üye var ise kararın altında tüzel kişi üyenin </w:t>
      </w:r>
      <w:proofErr w:type="spellStart"/>
      <w:r w:rsidRPr="00FB4A27">
        <w:rPr>
          <w:rFonts w:ascii="Times New Roman" w:hAnsi="Times New Roman" w:cs="Times New Roman"/>
          <w:sz w:val="24"/>
          <w:szCs w:val="24"/>
        </w:rPr>
        <w:t>ünvanı</w:t>
      </w:r>
      <w:proofErr w:type="spellEnd"/>
      <w:r w:rsidRPr="00FB4A27">
        <w:rPr>
          <w:rFonts w:ascii="Times New Roman" w:hAnsi="Times New Roman" w:cs="Times New Roman"/>
          <w:sz w:val="24"/>
          <w:szCs w:val="24"/>
        </w:rPr>
        <w:t xml:space="preserve"> yazılmalıdır. Ayrıca tüzel kişi tarafından ve tüzel kişi adına belirlenen gerçek kişinin ad-soyadı belirtilmelidir. </w:t>
      </w:r>
    </w:p>
    <w:p w:rsidR="00DB5704" w:rsidRDefault="00DB5704" w:rsidP="00DB5704">
      <w:pPr>
        <w:jc w:val="both"/>
        <w:rPr>
          <w:rFonts w:ascii="Times New Roman" w:hAnsi="Times New Roman" w:cs="Times New Roman"/>
          <w:sz w:val="24"/>
          <w:szCs w:val="24"/>
        </w:rPr>
      </w:pPr>
      <w:r>
        <w:rPr>
          <w:rFonts w:ascii="Times New Roman" w:hAnsi="Times New Roman" w:cs="Times New Roman"/>
          <w:sz w:val="24"/>
          <w:szCs w:val="24"/>
        </w:rPr>
        <w:t xml:space="preserve">*Yönetim kurulu toplantılarında </w:t>
      </w:r>
      <w:proofErr w:type="gramStart"/>
      <w:r>
        <w:rPr>
          <w:rFonts w:ascii="Times New Roman" w:hAnsi="Times New Roman" w:cs="Times New Roman"/>
          <w:sz w:val="24"/>
          <w:szCs w:val="24"/>
        </w:rPr>
        <w:t>vekaleten</w:t>
      </w:r>
      <w:proofErr w:type="gramEnd"/>
      <w:r>
        <w:rPr>
          <w:rFonts w:ascii="Times New Roman" w:hAnsi="Times New Roman" w:cs="Times New Roman"/>
          <w:sz w:val="24"/>
          <w:szCs w:val="24"/>
        </w:rPr>
        <w:t xml:space="preserve"> imza atılamaz. (TTK Madde 390/2)</w:t>
      </w:r>
    </w:p>
    <w:p w:rsidR="00DB5704" w:rsidRDefault="00DB5704" w:rsidP="00DB5704">
      <w:pPr>
        <w:jc w:val="both"/>
        <w:rPr>
          <w:rFonts w:ascii="Times New Roman" w:hAnsi="Times New Roman" w:cs="Times New Roman"/>
          <w:sz w:val="24"/>
          <w:szCs w:val="24"/>
        </w:rPr>
      </w:pPr>
      <w:r>
        <w:rPr>
          <w:rFonts w:ascii="Times New Roman" w:hAnsi="Times New Roman" w:cs="Times New Roman"/>
          <w:sz w:val="24"/>
          <w:szCs w:val="24"/>
        </w:rPr>
        <w:t xml:space="preserve">*Ana sözleşmede ağırlaştırılmış bir nisap ya da aksine bir hüküm yok ise karar nisaplarında TTK 390. Madde hükümleri uygulanır. </w:t>
      </w: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0D0217" w:rsidRDefault="000D0217" w:rsidP="000D0217">
      <w:pPr>
        <w:pStyle w:val="NormalWeb"/>
        <w:spacing w:before="0" w:beforeAutospacing="0" w:after="0" w:afterAutospacing="0"/>
        <w:rPr>
          <w:b/>
          <w:color w:val="C0504D" w:themeColor="accent2"/>
        </w:rPr>
      </w:pPr>
    </w:p>
    <w:p w:rsidR="00220406" w:rsidRDefault="00220406"/>
    <w:sectPr w:rsidR="00220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17"/>
    <w:rsid w:val="00021FB0"/>
    <w:rsid w:val="000D0217"/>
    <w:rsid w:val="00220406"/>
    <w:rsid w:val="002901C0"/>
    <w:rsid w:val="004009DA"/>
    <w:rsid w:val="006A1CB3"/>
    <w:rsid w:val="0084175A"/>
    <w:rsid w:val="008F3BE0"/>
    <w:rsid w:val="009655B4"/>
    <w:rsid w:val="00A170C0"/>
    <w:rsid w:val="00A42581"/>
    <w:rsid w:val="00B347E7"/>
    <w:rsid w:val="00C1626B"/>
    <w:rsid w:val="00C62A6A"/>
    <w:rsid w:val="00DB5704"/>
    <w:rsid w:val="00F20427"/>
    <w:rsid w:val="00F840E0"/>
    <w:rsid w:val="00F86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0217"/>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0217"/>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Cagan BICEL</dc:creator>
  <cp:lastModifiedBy>Mehmet Köredeve</cp:lastModifiedBy>
  <cp:revision>2</cp:revision>
  <cp:lastPrinted>2015-10-13T13:09:00Z</cp:lastPrinted>
  <dcterms:created xsi:type="dcterms:W3CDTF">2018-04-10T05:44:00Z</dcterms:created>
  <dcterms:modified xsi:type="dcterms:W3CDTF">2018-04-10T05:44:00Z</dcterms:modified>
</cp:coreProperties>
</file>